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661D6" w14:textId="5071CE3F" w:rsidR="000B5053" w:rsidRPr="004753F5" w:rsidRDefault="00594791" w:rsidP="000223CA">
      <w:pPr>
        <w:jc w:val="center"/>
        <w:rPr>
          <w:b/>
          <w:u w:val="single"/>
        </w:rPr>
      </w:pPr>
      <w:r w:rsidRPr="004753F5">
        <w:rPr>
          <w:b/>
          <w:u w:val="single"/>
        </w:rPr>
        <w:t>Anglian Country Inns Ltd</w:t>
      </w:r>
      <w:r w:rsidR="004753F5" w:rsidRPr="004753F5">
        <w:rPr>
          <w:b/>
          <w:u w:val="single"/>
        </w:rPr>
        <w:t xml:space="preserve"> - </w:t>
      </w:r>
      <w:r w:rsidRPr="004753F5">
        <w:rPr>
          <w:b/>
          <w:u w:val="single"/>
        </w:rPr>
        <w:t xml:space="preserve">Gender Pay Gap </w:t>
      </w:r>
      <w:r w:rsidR="004753F5" w:rsidRPr="004753F5">
        <w:rPr>
          <w:b/>
          <w:u w:val="single"/>
        </w:rPr>
        <w:t>R</w:t>
      </w:r>
      <w:r w:rsidRPr="004753F5">
        <w:rPr>
          <w:b/>
          <w:u w:val="single"/>
        </w:rPr>
        <w:t>eporting April 20</w:t>
      </w:r>
      <w:r w:rsidR="00CC45AF">
        <w:rPr>
          <w:b/>
          <w:u w:val="single"/>
        </w:rPr>
        <w:t>20</w:t>
      </w:r>
    </w:p>
    <w:p w14:paraId="1E9C4771" w14:textId="70D381B5" w:rsidR="00680EE5" w:rsidRDefault="00594791">
      <w:r>
        <w:t xml:space="preserve">Legislation requires all employers with over 250 employees to publish annually their </w:t>
      </w:r>
      <w:r w:rsidR="00680EE5">
        <w:t>G</w:t>
      </w:r>
      <w:r>
        <w:t xml:space="preserve">ender </w:t>
      </w:r>
      <w:r w:rsidR="00680EE5">
        <w:t>P</w:t>
      </w:r>
      <w:r>
        <w:t xml:space="preserve">ay </w:t>
      </w:r>
      <w:r w:rsidR="00680EE5">
        <w:t>G</w:t>
      </w:r>
      <w:r>
        <w:t xml:space="preserve">ap. </w:t>
      </w:r>
    </w:p>
    <w:p w14:paraId="6691A277" w14:textId="021D13E0" w:rsidR="00594791" w:rsidRDefault="00680EE5">
      <w:r>
        <w:t xml:space="preserve">The </w:t>
      </w:r>
      <w:r w:rsidR="00594791">
        <w:t>metrics</w:t>
      </w:r>
      <w:r>
        <w:t xml:space="preserve"> below have been calculated in accordance with Government Equalities Office Guidance on the required a snapshot date of 5</w:t>
      </w:r>
      <w:r w:rsidRPr="00680EE5">
        <w:rPr>
          <w:vertAlign w:val="superscript"/>
        </w:rPr>
        <w:t>th</w:t>
      </w:r>
      <w:r>
        <w:t xml:space="preserve"> April 201</w:t>
      </w:r>
      <w:r w:rsidR="00CC45AF">
        <w:t>9</w:t>
      </w:r>
      <w:r>
        <w:t>. The bonus period used for calculations in respect of bonuses is 1</w:t>
      </w:r>
      <w:r w:rsidRPr="00680EE5">
        <w:rPr>
          <w:vertAlign w:val="superscript"/>
        </w:rPr>
        <w:t>st</w:t>
      </w:r>
      <w:r>
        <w:t xml:space="preserve"> May 201</w:t>
      </w:r>
      <w:r w:rsidR="008514DC">
        <w:t>8</w:t>
      </w:r>
      <w:r>
        <w:t xml:space="preserve"> to 30</w:t>
      </w:r>
      <w:r w:rsidRPr="00680EE5">
        <w:rPr>
          <w:vertAlign w:val="superscript"/>
        </w:rPr>
        <w:t>th</w:t>
      </w:r>
      <w:r>
        <w:t xml:space="preserve"> April 201</w:t>
      </w:r>
      <w:r w:rsidR="008514DC">
        <w:t>9</w:t>
      </w:r>
      <w:r>
        <w:t>.</w:t>
      </w:r>
      <w:r w:rsidR="00594791">
        <w:t xml:space="preserve">  </w:t>
      </w:r>
    </w:p>
    <w:p w14:paraId="588BDBF4" w14:textId="2ABE4611" w:rsidR="000223CA" w:rsidRPr="000223CA" w:rsidRDefault="000223CA">
      <w:pPr>
        <w:rPr>
          <w:b/>
          <w:u w:val="single"/>
        </w:rPr>
      </w:pPr>
      <w:r w:rsidRPr="000223CA">
        <w:rPr>
          <w:b/>
          <w:u w:val="single"/>
        </w:rPr>
        <w:t>Difference in Hourly Rate</w:t>
      </w:r>
    </w:p>
    <w:p w14:paraId="27CF7A22" w14:textId="22C9264A" w:rsidR="00594791" w:rsidRDefault="000223CA">
      <w:r>
        <w:t xml:space="preserve">Women’s mean hourly rate is </w:t>
      </w:r>
      <w:r w:rsidR="00E92E85">
        <w:t>12.21</w:t>
      </w:r>
      <w:r w:rsidRPr="000223CA">
        <w:rPr>
          <w:b/>
        </w:rPr>
        <w:t>% lower</w:t>
      </w:r>
      <w:r>
        <w:t xml:space="preserve"> than men’s</w:t>
      </w:r>
    </w:p>
    <w:p w14:paraId="72F455B7" w14:textId="592CBF9C" w:rsidR="000223CA" w:rsidRPr="008A15A1" w:rsidRDefault="000223CA">
      <w:pPr>
        <w:rPr>
          <w:b/>
        </w:rPr>
      </w:pPr>
      <w:r>
        <w:t>Women’s me</w:t>
      </w:r>
      <w:r w:rsidR="0073563F">
        <w:t>dian</w:t>
      </w:r>
      <w:r>
        <w:t xml:space="preserve"> hourly rate </w:t>
      </w:r>
      <w:r w:rsidR="00E92E85">
        <w:t>8.33</w:t>
      </w:r>
      <w:r w:rsidR="008A15A1" w:rsidRPr="000223CA">
        <w:rPr>
          <w:b/>
        </w:rPr>
        <w:t>% lower</w:t>
      </w:r>
      <w:r w:rsidR="008A15A1">
        <w:t xml:space="preserve"> than men’s</w:t>
      </w:r>
      <w:r w:rsidR="00910DB7">
        <w:br/>
      </w:r>
      <w:r w:rsidR="00910DB7">
        <w:rPr>
          <w:b/>
          <w:u w:val="single"/>
        </w:rPr>
        <w:br/>
      </w:r>
      <w:r w:rsidRPr="00084D11">
        <w:rPr>
          <w:b/>
          <w:u w:val="single"/>
        </w:rPr>
        <w:t>Proportion of women in each pay quartile</w:t>
      </w:r>
    </w:p>
    <w:p w14:paraId="74B219FD" w14:textId="60E4FE25" w:rsidR="007A06CD" w:rsidRDefault="00C72E94" w:rsidP="007A06CD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5B754DCF" wp14:editId="19645F11">
            <wp:extent cx="5924550" cy="1971675"/>
            <wp:effectExtent l="0" t="0" r="0" b="952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54FFCD42-F147-4B88-B77D-D33FFDB30E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13B3116" w14:textId="188D02D3" w:rsidR="00680EE5" w:rsidRPr="00084D11" w:rsidRDefault="00084D11" w:rsidP="00680EE5">
      <w:pPr>
        <w:rPr>
          <w:b/>
          <w:u w:val="single"/>
        </w:rPr>
      </w:pPr>
      <w:r w:rsidRPr="00084D11">
        <w:rPr>
          <w:b/>
          <w:u w:val="single"/>
        </w:rPr>
        <w:t xml:space="preserve">Who received bonus </w:t>
      </w:r>
      <w:proofErr w:type="gramStart"/>
      <w:r w:rsidRPr="00084D11">
        <w:rPr>
          <w:b/>
          <w:u w:val="single"/>
        </w:rPr>
        <w:t>pay</w:t>
      </w:r>
      <w:proofErr w:type="gramEnd"/>
    </w:p>
    <w:p w14:paraId="6C763F89" w14:textId="73504ACE" w:rsidR="00084D11" w:rsidRDefault="00E92E85" w:rsidP="00680EE5">
      <w:r>
        <w:t>23.2</w:t>
      </w:r>
      <w:r w:rsidR="00084D11">
        <w:t>% of women</w:t>
      </w:r>
    </w:p>
    <w:p w14:paraId="04C54071" w14:textId="77BCB910" w:rsidR="00084D11" w:rsidRDefault="00E92E85" w:rsidP="00680EE5">
      <w:r>
        <w:t>16.2</w:t>
      </w:r>
      <w:r w:rsidR="00084D11">
        <w:t>% of men</w:t>
      </w:r>
    </w:p>
    <w:p w14:paraId="56EE8D4A" w14:textId="5A48FF79" w:rsidR="00084D11" w:rsidRPr="00084D11" w:rsidRDefault="00084D11" w:rsidP="00680EE5">
      <w:pPr>
        <w:rPr>
          <w:b/>
          <w:u w:val="single"/>
        </w:rPr>
      </w:pPr>
      <w:r w:rsidRPr="00084D11">
        <w:rPr>
          <w:b/>
          <w:u w:val="single"/>
        </w:rPr>
        <w:t>Difference in bonus pay</w:t>
      </w:r>
    </w:p>
    <w:p w14:paraId="62DC5135" w14:textId="537CF2E5" w:rsidR="00084D11" w:rsidRDefault="00084D11" w:rsidP="00680EE5">
      <w:r>
        <w:t xml:space="preserve">Women’s mean bonus pay is </w:t>
      </w:r>
      <w:r w:rsidR="00E92E85">
        <w:t>55.89</w:t>
      </w:r>
      <w:r w:rsidRPr="004753F5">
        <w:rPr>
          <w:b/>
        </w:rPr>
        <w:t xml:space="preserve">% </w:t>
      </w:r>
      <w:r w:rsidR="00E92E85">
        <w:rPr>
          <w:b/>
        </w:rPr>
        <w:t>lower</w:t>
      </w:r>
      <w:r>
        <w:t xml:space="preserve"> than men’s</w:t>
      </w:r>
      <w:bookmarkStart w:id="0" w:name="_GoBack"/>
      <w:bookmarkEnd w:id="0"/>
    </w:p>
    <w:p w14:paraId="5F733E5B" w14:textId="0ECD7D8B" w:rsidR="00084D11" w:rsidRDefault="00084D11" w:rsidP="00680EE5">
      <w:r>
        <w:t xml:space="preserve">Women’s median bonus pay is </w:t>
      </w:r>
      <w:r w:rsidR="00E92E85">
        <w:t>59.24</w:t>
      </w:r>
      <w:r w:rsidR="00E92E85">
        <w:rPr>
          <w:b/>
        </w:rPr>
        <w:t>% lower</w:t>
      </w:r>
      <w:r w:rsidR="008A15A1">
        <w:rPr>
          <w:b/>
        </w:rPr>
        <w:t xml:space="preserve"> </w:t>
      </w:r>
      <w:r>
        <w:t>th</w:t>
      </w:r>
      <w:r w:rsidR="008A15A1">
        <w:t>e</w:t>
      </w:r>
      <w:r>
        <w:t xml:space="preserve"> men’s</w:t>
      </w:r>
    </w:p>
    <w:p w14:paraId="05A68BF1" w14:textId="7D32FDBD" w:rsidR="00680EE5" w:rsidRDefault="004753F5" w:rsidP="00680EE5">
      <w:r>
        <w:br/>
      </w:r>
      <w:r w:rsidR="00680EE5">
        <w:t xml:space="preserve">The hospitality industry offers plenty of opportunities for part time workers </w:t>
      </w:r>
      <w:r w:rsidR="00FF2D09">
        <w:t>which can</w:t>
      </w:r>
      <w:r w:rsidR="00680EE5">
        <w:t xml:space="preserve"> often </w:t>
      </w:r>
      <w:r w:rsidR="00FF2D09">
        <w:t>attract workers</w:t>
      </w:r>
      <w:r w:rsidR="00680EE5">
        <w:t xml:space="preserve"> </w:t>
      </w:r>
      <w:r w:rsidR="00BB0D16">
        <w:t xml:space="preserve">that want </w:t>
      </w:r>
      <w:r w:rsidR="00E21B55">
        <w:t xml:space="preserve">to </w:t>
      </w:r>
      <w:r w:rsidR="00BB0D16">
        <w:t xml:space="preserve">fit work around their family </w:t>
      </w:r>
      <w:r w:rsidR="00E21B55">
        <w:t>commitments</w:t>
      </w:r>
      <w:r w:rsidR="00FF2D09">
        <w:t>. This flexibility is often favoured by female employees, which means the more senior higher paid bands seem more weighted towards male employees.</w:t>
      </w:r>
    </w:p>
    <w:p w14:paraId="3E0C427D" w14:textId="231F354F" w:rsidR="00FF2D09" w:rsidRDefault="00FF2D09" w:rsidP="00680EE5">
      <w:r>
        <w:t xml:space="preserve">Anglian Country Inns have been investing in the development of their “People Plan”. Clear careers paths and opportunities for training are available for all employees regardless of gender.   </w:t>
      </w:r>
    </w:p>
    <w:p w14:paraId="2256CCB3" w14:textId="41F6FF15" w:rsidR="00594791" w:rsidRDefault="00FF2D09">
      <w:r>
        <w:t xml:space="preserve">I confirm that the metrics stated above are </w:t>
      </w:r>
      <w:r w:rsidR="00594791">
        <w:t>accura</w:t>
      </w:r>
      <w:r>
        <w:t>te.</w:t>
      </w:r>
      <w:r w:rsidR="00910DB7" w:rsidRPr="00910DB7">
        <w:rPr>
          <w:noProof/>
        </w:rPr>
        <w:t xml:space="preserve"> </w:t>
      </w:r>
    </w:p>
    <w:p w14:paraId="363CA25C" w14:textId="3BA48FE3" w:rsidR="004753F5" w:rsidRDefault="00910DB7">
      <w:r>
        <w:rPr>
          <w:noProof/>
        </w:rPr>
        <w:drawing>
          <wp:anchor distT="0" distB="0" distL="114300" distR="114300" simplePos="0" relativeHeight="251658240" behindDoc="0" locked="0" layoutInCell="1" allowOverlap="1" wp14:anchorId="75D578B7" wp14:editId="7B0CF62C">
            <wp:simplePos x="0" y="0"/>
            <wp:positionH relativeFrom="column">
              <wp:posOffset>28575</wp:posOffset>
            </wp:positionH>
            <wp:positionV relativeFrom="paragraph">
              <wp:posOffset>10160</wp:posOffset>
            </wp:positionV>
            <wp:extent cx="1524000" cy="504190"/>
            <wp:effectExtent l="0" t="0" r="0" b="0"/>
            <wp:wrapThrough wrapText="bothSides">
              <wp:wrapPolygon edited="0">
                <wp:start x="0" y="0"/>
                <wp:lineTo x="0" y="20403"/>
                <wp:lineTo x="21330" y="20403"/>
                <wp:lineTo x="2133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der p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D3613" w14:textId="77777777" w:rsidR="00910DB7" w:rsidRDefault="00910DB7"/>
    <w:p w14:paraId="1010D935" w14:textId="6B9FFDEC" w:rsidR="00594791" w:rsidRDefault="00FF2D09">
      <w:r>
        <w:t>James Nye</w:t>
      </w:r>
      <w:r>
        <w:br/>
      </w:r>
      <w:r w:rsidR="00594791">
        <w:t>Director</w:t>
      </w:r>
    </w:p>
    <w:sectPr w:rsidR="00594791" w:rsidSect="004753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29"/>
    <w:rsid w:val="000223CA"/>
    <w:rsid w:val="000722B7"/>
    <w:rsid w:val="00084D11"/>
    <w:rsid w:val="000B5053"/>
    <w:rsid w:val="004753F5"/>
    <w:rsid w:val="004D4729"/>
    <w:rsid w:val="005451EC"/>
    <w:rsid w:val="00594791"/>
    <w:rsid w:val="00680EE5"/>
    <w:rsid w:val="00727D1D"/>
    <w:rsid w:val="0073563F"/>
    <w:rsid w:val="007A06CD"/>
    <w:rsid w:val="008514DC"/>
    <w:rsid w:val="008A15A1"/>
    <w:rsid w:val="00910DB7"/>
    <w:rsid w:val="00AB737D"/>
    <w:rsid w:val="00AD73D4"/>
    <w:rsid w:val="00AE55D7"/>
    <w:rsid w:val="00BB0D16"/>
    <w:rsid w:val="00C57665"/>
    <w:rsid w:val="00C72E94"/>
    <w:rsid w:val="00CC45AF"/>
    <w:rsid w:val="00E21B55"/>
    <w:rsid w:val="00E92E85"/>
    <w:rsid w:val="00F01A62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62560"/>
  <w15:chartTrackingRefBased/>
  <w15:docId w15:val="{66B9CE04-5C03-4CE3-87D5-AD1A3D5E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cinns-fox-dc01\HR\Gender%20Pay%20Gap%20reporting\Gender%20Pay%20Gap%202020\Gender%20Pay%20Gap%20workings%20April%202020.%20after%20S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'Quartile Graph'!$C$13</c:f>
              <c:strCache>
                <c:ptCount val="1"/>
                <c:pt idx="0">
                  <c:v>men</c:v>
                </c:pt>
              </c:strCache>
            </c:strRef>
          </c:tx>
          <c:invertIfNegative val="0"/>
          <c:cat>
            <c:strRef>
              <c:f>'Quartile Graph'!$D$12:$G$12</c:f>
              <c:strCache>
                <c:ptCount val="4"/>
                <c:pt idx="0">
                  <c:v>Top quartile</c:v>
                </c:pt>
                <c:pt idx="1">
                  <c:v>Upper middle quartile</c:v>
                </c:pt>
                <c:pt idx="2">
                  <c:v>Lower middle quartile</c:v>
                </c:pt>
                <c:pt idx="3">
                  <c:v>Lower quartile</c:v>
                </c:pt>
              </c:strCache>
            </c:strRef>
          </c:cat>
          <c:val>
            <c:numRef>
              <c:f>'Quartile Graph'!$D$13:$G$13</c:f>
              <c:numCache>
                <c:formatCode>0.00%</c:formatCode>
                <c:ptCount val="4"/>
                <c:pt idx="0">
                  <c:v>0.67032967032967028</c:v>
                </c:pt>
                <c:pt idx="1">
                  <c:v>0.56043956043956045</c:v>
                </c:pt>
                <c:pt idx="2">
                  <c:v>0.40659340659340659</c:v>
                </c:pt>
                <c:pt idx="3">
                  <c:v>0.32967032967032966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E1-47E2-816E-D025286CE5CA}"/>
            </c:ext>
          </c:extLst>
        </c:ser>
        <c:ser>
          <c:idx val="1"/>
          <c:order val="1"/>
          <c:tx>
            <c:strRef>
              <c:f>'Quartile Graph'!$C$14</c:f>
              <c:strCache>
                <c:ptCount val="1"/>
                <c:pt idx="0">
                  <c:v>women</c:v>
                </c:pt>
              </c:strCache>
            </c:strRef>
          </c:tx>
          <c:invertIfNegative val="0"/>
          <c:cat>
            <c:strRef>
              <c:f>'Quartile Graph'!$D$12:$G$12</c:f>
              <c:strCache>
                <c:ptCount val="4"/>
                <c:pt idx="0">
                  <c:v>Top quartile</c:v>
                </c:pt>
                <c:pt idx="1">
                  <c:v>Upper middle quartile</c:v>
                </c:pt>
                <c:pt idx="2">
                  <c:v>Lower middle quartile</c:v>
                </c:pt>
                <c:pt idx="3">
                  <c:v>Lower quartile</c:v>
                </c:pt>
              </c:strCache>
            </c:strRef>
          </c:cat>
          <c:val>
            <c:numRef>
              <c:f>'Quartile Graph'!$D$14:$G$14</c:f>
              <c:numCache>
                <c:formatCode>0.00%</c:formatCode>
                <c:ptCount val="4"/>
                <c:pt idx="0">
                  <c:v>0.32967032967032966</c:v>
                </c:pt>
                <c:pt idx="1">
                  <c:v>0.43956043956043955</c:v>
                </c:pt>
                <c:pt idx="2">
                  <c:v>0.59340659340659341</c:v>
                </c:pt>
                <c:pt idx="3">
                  <c:v>0.67032967032967028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E1-47E2-816E-D025286CE5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93662536"/>
        <c:axId val="1"/>
      </c:barChart>
      <c:catAx>
        <c:axId val="593662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36625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HR - ACINNS</cp:lastModifiedBy>
  <cp:revision>7</cp:revision>
  <dcterms:created xsi:type="dcterms:W3CDTF">2020-01-09T09:15:00Z</dcterms:created>
  <dcterms:modified xsi:type="dcterms:W3CDTF">2020-02-04T12:54:00Z</dcterms:modified>
</cp:coreProperties>
</file>